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1BD2" w14:textId="77777777" w:rsidR="007A3171" w:rsidRPr="00C83186" w:rsidRDefault="002B0D42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bookmarkStart w:id="0" w:name="_Hlk24030722"/>
      <w:r w:rsidRPr="00C83186">
        <w:rPr>
          <w:rFonts w:asciiTheme="majorHAnsi" w:hAnsiTheme="majorHAnsi" w:cstheme="minorHAnsi"/>
          <w:b/>
          <w:sz w:val="28"/>
          <w:szCs w:val="28"/>
        </w:rPr>
        <w:t>KAMERA</w:t>
      </w:r>
      <w:r w:rsidR="00C83186" w:rsidRPr="00C83186">
        <w:rPr>
          <w:rFonts w:asciiTheme="majorHAnsi" w:hAnsiTheme="majorHAnsi" w:cstheme="minorHAnsi"/>
          <w:b/>
          <w:sz w:val="28"/>
          <w:szCs w:val="28"/>
        </w:rPr>
        <w:t xml:space="preserve"> KAYIT SİSTEMİ İLE İZLEMEYE DAİR AYDINLATMA METNİ</w:t>
      </w:r>
    </w:p>
    <w:p w14:paraId="3D4A3536" w14:textId="77777777" w:rsidR="002B0D42" w:rsidRPr="00F4774C" w:rsidRDefault="005F5716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noProof/>
          <w:sz w:val="84"/>
          <w:szCs w:val="84"/>
        </w:rPr>
        <w:pict w14:anchorId="52DF99A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2E81E00" w14:textId="77777777" w:rsidR="002B0D42" w:rsidRPr="00F4774C" w:rsidRDefault="002B0D42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7DD3C77A" w14:textId="1622EB67" w:rsidR="002B0D42" w:rsidRPr="00C83186" w:rsidRDefault="002B0D42" w:rsidP="00360898">
      <w:pPr>
        <w:pStyle w:val="ListeParagraf"/>
        <w:spacing w:after="0" w:line="240" w:lineRule="auto"/>
        <w:ind w:left="0"/>
        <w:jc w:val="both"/>
        <w:rPr>
          <w:rFonts w:asciiTheme="majorHAnsi" w:hAnsiTheme="majorHAnsi" w:cstheme="minorHAnsi"/>
          <w:iCs/>
          <w:sz w:val="24"/>
          <w:szCs w:val="24"/>
        </w:rPr>
      </w:pPr>
      <w:proofErr w:type="gramStart"/>
      <w:r w:rsidRPr="00C83186">
        <w:rPr>
          <w:rFonts w:asciiTheme="majorHAnsi" w:hAnsiTheme="majorHAnsi" w:cstheme="minorHAnsi"/>
          <w:iCs/>
          <w:sz w:val="24"/>
          <w:szCs w:val="24"/>
        </w:rPr>
        <w:t>İşbu Aydınlatma metni, 6698 sayılı Kişisel Verilerin Korunması Kanunu (“</w:t>
      </w:r>
      <w:r w:rsidRPr="00C83186">
        <w:rPr>
          <w:rFonts w:asciiTheme="majorHAnsi" w:hAnsiTheme="majorHAnsi" w:cstheme="minorHAnsi"/>
          <w:b/>
          <w:iCs/>
          <w:sz w:val="24"/>
          <w:szCs w:val="24"/>
        </w:rPr>
        <w:t>Kanun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”) uyarınca veri sorumlusu sıfatıyla hareket eden </w:t>
      </w:r>
      <w:r w:rsidR="00392772">
        <w:rPr>
          <w:b/>
          <w:bCs/>
          <w:iCs/>
          <w:szCs w:val="24"/>
          <w:lang w:eastAsia="tr-TR"/>
        </w:rPr>
        <w:t>MDL</w:t>
      </w:r>
      <w:r w:rsidR="009C6FB2" w:rsidRPr="00001CA7">
        <w:rPr>
          <w:b/>
          <w:bCs/>
          <w:iCs/>
          <w:szCs w:val="24"/>
          <w:lang w:eastAsia="tr-TR"/>
        </w:rPr>
        <w:t xml:space="preserve"> </w:t>
      </w:r>
      <w:r w:rsidR="00392772" w:rsidRPr="00392772">
        <w:rPr>
          <w:b/>
          <w:bCs/>
          <w:iCs/>
          <w:szCs w:val="24"/>
          <w:lang w:eastAsia="tr-TR"/>
        </w:rPr>
        <w:t>MEDİKAL VE ENDÜSTRİYEL ÜRÜNLER SANAYİ TİCARET ANONİM ŞİRKETİ</w:t>
      </w:r>
      <w:r w:rsidR="009C6FB2"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>(“</w:t>
      </w:r>
      <w:r w:rsidR="00392772">
        <w:rPr>
          <w:rFonts w:asciiTheme="majorHAnsi" w:hAnsiTheme="majorHAnsi" w:cs="Calibri"/>
          <w:b/>
          <w:bCs/>
          <w:sz w:val="24"/>
          <w:szCs w:val="24"/>
          <w:lang w:eastAsia="tr-TR"/>
        </w:rPr>
        <w:t>MDL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” </w:t>
      </w:r>
      <w:r w:rsidRPr="00C83186">
        <w:rPr>
          <w:rFonts w:asciiTheme="majorHAnsi" w:hAnsiTheme="majorHAnsi" w:cstheme="minorHAnsi"/>
          <w:sz w:val="24"/>
          <w:szCs w:val="24"/>
          <w:lang w:eastAsia="tr-TR"/>
        </w:rPr>
        <w:t>veya “</w:t>
      </w:r>
      <w:r w:rsidRPr="00C83186">
        <w:rPr>
          <w:rFonts w:asciiTheme="majorHAnsi" w:hAnsiTheme="majorHAnsi" w:cstheme="minorHAnsi"/>
          <w:b/>
          <w:sz w:val="24"/>
          <w:szCs w:val="24"/>
          <w:lang w:eastAsia="tr-TR"/>
        </w:rPr>
        <w:t>Şirket</w:t>
      </w:r>
      <w:r w:rsidRPr="00C83186">
        <w:rPr>
          <w:rFonts w:asciiTheme="majorHAnsi" w:hAnsiTheme="majorHAnsi" w:cstheme="minorHAnsi"/>
          <w:sz w:val="24"/>
          <w:szCs w:val="24"/>
          <w:lang w:eastAsia="tr-TR"/>
        </w:rPr>
        <w:t xml:space="preserve">” olarak anılacaktır.)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tarafından Kanun’a uygun olarak, </w:t>
      </w:r>
      <w:r w:rsidRPr="00C83186">
        <w:rPr>
          <w:rStyle w:val="AklamaBavurusu"/>
          <w:rFonts w:asciiTheme="majorHAnsi" w:hAnsiTheme="majorHAnsi"/>
          <w:sz w:val="24"/>
          <w:szCs w:val="24"/>
        </w:rPr>
        <w:t>Şirket b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ünyesinde çalışanlara ve Şirket merkezini yahut eklentilerini ziyaret eden misafirlere ait görsel nitelikteki kişisel verilerin işlenmesine ilişkin açıklamalarda bulunmak ve bilgilendirmek amacıyla kaleme alınmıştır. </w:t>
      </w:r>
      <w:proofErr w:type="gramEnd"/>
      <w:r w:rsidR="00392772">
        <w:rPr>
          <w:rFonts w:asciiTheme="majorHAnsi" w:hAnsiTheme="majorHAnsi" w:cs="Calibri"/>
          <w:b/>
          <w:sz w:val="24"/>
          <w:szCs w:val="24"/>
          <w:lang w:eastAsia="tr-TR"/>
        </w:rPr>
        <w:t>MDL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tarafından toplanan görsel nitelikteki kişisel verileriniz işyeri güvenliğinin sağlanması adına kişilik haklarınıza zarar vermeyecek şekilde Kanun’un 4. maddesi ve 5/2-f bentlerinde belirtilen kişisel verileri işleme ilkeleri ve şartları dâhilinde işlenecektir. Görsel nitelikteki kişisel verileriniz, 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Şirket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tesislerinde ve ofislerde ilgili uyarı yazısının bulunduğu bölümlerde kamera kayıt sistemi marifetiyle otomatik yollardan işlenebilecek ve toplanabilecektir. İşyeri güvenlik tedbirlerinin alınması amacıyla </w:t>
      </w:r>
      <w:r w:rsidR="00392772">
        <w:rPr>
          <w:rFonts w:asciiTheme="majorHAnsi" w:hAnsiTheme="majorHAnsi" w:cs="Calibri"/>
          <w:b/>
          <w:sz w:val="24"/>
          <w:szCs w:val="24"/>
          <w:lang w:eastAsia="tr-TR"/>
        </w:rPr>
        <w:t>MDL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bünyesinde toplanan görsel nitelikli kişisel verileriniz </w:t>
      </w:r>
      <w:r w:rsidR="00392772">
        <w:rPr>
          <w:rFonts w:asciiTheme="majorHAnsi" w:hAnsiTheme="majorHAnsi" w:cs="Calibri"/>
          <w:b/>
          <w:sz w:val="24"/>
          <w:szCs w:val="24"/>
          <w:lang w:eastAsia="tr-TR"/>
        </w:rPr>
        <w:t>MDL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 yetkilileri tarafından işlenebilecektir. Kamera görüntüleri, yalnızca olası kanuni yükümlülükleri yerine getirmek amacıyla kamu kurum ve kuruluşları ile adli veya idari yargı mercilerinin talepleri dâhilinde ilgili kuruluşlara Kanun’un 8/2-a bendi uyarınca aktarılabilecektir. Kişisel veri sahibi olarak Kanun’un 11. maddesinde belirtilen;</w:t>
      </w:r>
    </w:p>
    <w:p w14:paraId="40989F96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işlenip işlenmediğini öğrenme, </w:t>
      </w:r>
    </w:p>
    <w:p w14:paraId="3A2F1888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Kişisel verileriniz işlenmişse buna ilişkin bilgi talep etme,</w:t>
      </w:r>
    </w:p>
    <w:p w14:paraId="3BCCE77B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işlenme amacını ve bunların amacına uygun kullanılıp kullanılmadığını öğrenme, </w:t>
      </w:r>
    </w:p>
    <w:p w14:paraId="3ED93DDD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Yurt içinde veya yurt dışında kişisel verilerinizin aktarıldığı üçüncü kişileri bilme, </w:t>
      </w:r>
    </w:p>
    <w:p w14:paraId="2F271B82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eksik veya yanlış işlenmiş olması hâlinde bunların düzeltilmesini isteme, </w:t>
      </w:r>
    </w:p>
    <w:p w14:paraId="0A570400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Kanun’un 7. maddesinde öngörülen şartlar çerçevesinde kişisel verilerin silinmesini veya yok edilmesini isteme, </w:t>
      </w:r>
    </w:p>
    <w:p w14:paraId="47412933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Kanun’un 11. maddesinin (d) ve (e) bentleri uyarınca yapılan işlemlerin, kişisel verilerinizin aktarıldığı üçüncü kişilere bildirilmesini isteme, </w:t>
      </w:r>
    </w:p>
    <w:p w14:paraId="29D66205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İşlenen verilerinizin münhasıran otomatik sistemler vasıtasıyla analiz edilmesi suretiyle kendiniz aleyhine bir sonucun ortaya çıkmasına itiraz etme,</w:t>
      </w:r>
    </w:p>
    <w:p w14:paraId="207B2127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Kişisel verilerinizin kanuna aykırı olarak işlenmesi sebebiyle zarara uğramanız hâlinde zararın giderilmesini talep etme,</w:t>
      </w:r>
    </w:p>
    <w:p w14:paraId="2EB385A6" w14:textId="5617B9D8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eastAsia="tr-TR"/>
        </w:rPr>
      </w:pPr>
      <w:r w:rsidRPr="00C83186">
        <w:rPr>
          <w:rFonts w:asciiTheme="majorHAnsi" w:hAnsiTheme="majorHAnsi" w:cs="Calibri"/>
          <w:sz w:val="24"/>
          <w:szCs w:val="24"/>
          <w:lang w:eastAsia="tr-TR"/>
        </w:rPr>
        <w:t>Haklarınızı kullanmayı talep edebilirsiniz. Haklarınıza ve Kanunun uygulanmasına ilişkin taleplerinizi, işyerinden temin edebileceğiniz başvuru formunu doldurarak ıslak imzalı şekilde “</w:t>
      </w:r>
      <w:r w:rsidR="005F5716" w:rsidRPr="005F5716">
        <w:rPr>
          <w:rFonts w:asciiTheme="majorHAnsi" w:hAnsiTheme="majorHAnsi" w:cs="Calibri"/>
          <w:i/>
          <w:sz w:val="24"/>
          <w:szCs w:val="24"/>
          <w:lang w:eastAsia="tr-TR"/>
        </w:rPr>
        <w:t xml:space="preserve">Atatürk Mah. Ertuğrul Gazi Sok. Metropol İstanbul Sitesi C1 Blok Apt. No:2B 375 </w:t>
      </w:r>
      <w:proofErr w:type="spellStart"/>
      <w:r w:rsidR="005F5716" w:rsidRPr="005F5716">
        <w:rPr>
          <w:rFonts w:asciiTheme="majorHAnsi" w:hAnsiTheme="majorHAnsi" w:cs="Calibri"/>
          <w:i/>
          <w:sz w:val="24"/>
          <w:szCs w:val="24"/>
          <w:lang w:eastAsia="tr-TR"/>
        </w:rPr>
        <w:t>Ataşehir</w:t>
      </w:r>
      <w:proofErr w:type="spellEnd"/>
      <w:r w:rsidR="005F5716" w:rsidRPr="005F5716">
        <w:rPr>
          <w:rFonts w:asciiTheme="majorHAnsi" w:hAnsiTheme="majorHAnsi" w:cs="Calibri"/>
          <w:i/>
          <w:sz w:val="24"/>
          <w:szCs w:val="24"/>
          <w:lang w:eastAsia="tr-TR"/>
        </w:rPr>
        <w:t>/İstanbul</w:t>
      </w:r>
      <w:r w:rsidRPr="005F5716">
        <w:rPr>
          <w:rFonts w:asciiTheme="majorHAnsi" w:hAnsiTheme="majorHAnsi" w:cs="Calibri"/>
          <w:i/>
          <w:sz w:val="24"/>
          <w:szCs w:val="24"/>
          <w:lang w:eastAsia="tr-TR"/>
        </w:rPr>
        <w:t>”</w:t>
      </w:r>
      <w:r w:rsidR="005F5716">
        <w:rPr>
          <w:rFonts w:asciiTheme="majorHAnsi" w:hAnsiTheme="majorHAnsi" w:cs="Calibri"/>
          <w:i/>
          <w:sz w:val="24"/>
          <w:szCs w:val="24"/>
          <w:lang w:eastAsia="tr-TR"/>
        </w:rPr>
        <w:t xml:space="preserve"> </w:t>
      </w:r>
      <w:bookmarkStart w:id="1" w:name="_GoBack"/>
      <w:bookmarkEnd w:id="1"/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adresine noter kanalıyla, iadeli taahhütlü posta yoluyla veya şahsi başvurunuzla ya da elektronik ortamda doldurduğunuz başvuru formunu mobil imzanızla, güvenli elektronik imzanızla imzaladıktan sonra </w:t>
      </w:r>
      <w:hyperlink r:id="rId5" w:history="1">
        <w:r w:rsidR="00392772" w:rsidRPr="002E5360">
          <w:rPr>
            <w:rStyle w:val="Kpr"/>
            <w:rFonts w:asciiTheme="majorHAnsi" w:hAnsiTheme="majorHAnsi" w:cs="Calibri"/>
            <w:sz w:val="24"/>
            <w:szCs w:val="24"/>
            <w:lang w:eastAsia="tr-TR"/>
          </w:rPr>
          <w:t>mdl.medikal@hs01.kep.tr</w:t>
        </w:r>
      </w:hyperlink>
      <w:r w:rsidR="00392772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="00C83186" w:rsidRPr="00C83186">
        <w:rPr>
          <w:rFonts w:asciiTheme="majorHAnsi" w:hAnsiTheme="majorHAnsi" w:cs="Calibri"/>
          <w:sz w:val="24"/>
          <w:szCs w:val="24"/>
          <w:lang w:eastAsia="tr-TR"/>
        </w:rPr>
        <w:t>adresine kayıtlı elektronik posta ile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veya Şirket’in veri kayıt sisteminde </w:t>
      </w:r>
      <w:proofErr w:type="gramStart"/>
      <w:r w:rsidRPr="00C83186">
        <w:rPr>
          <w:rFonts w:asciiTheme="majorHAnsi" w:hAnsiTheme="majorHAnsi" w:cs="Calibri"/>
          <w:sz w:val="24"/>
          <w:szCs w:val="24"/>
          <w:lang w:eastAsia="tr-TR"/>
        </w:rPr>
        <w:t>halihazırda</w:t>
      </w:r>
      <w:proofErr w:type="gramEnd"/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kayıtlı olan e-posta adresinizi kullanarak </w:t>
      </w:r>
      <w:r w:rsidR="009C6FB2">
        <w:rPr>
          <w:rStyle w:val="AklamaBavurusu"/>
          <w:sz w:val="24"/>
          <w:szCs w:val="24"/>
        </w:rPr>
        <w:t>kvkk@</w:t>
      </w:r>
      <w:r w:rsidR="00392772">
        <w:rPr>
          <w:rStyle w:val="AklamaBavurusu"/>
          <w:sz w:val="24"/>
          <w:szCs w:val="24"/>
        </w:rPr>
        <w:t>mdl</w:t>
      </w:r>
      <w:r w:rsidR="009C6FB2">
        <w:rPr>
          <w:rStyle w:val="AklamaBavurusu"/>
          <w:sz w:val="24"/>
          <w:szCs w:val="24"/>
        </w:rPr>
        <w:t>.com.tr 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dresine iletebilirsiniz. </w:t>
      </w:r>
      <w:r w:rsidR="00392772">
        <w:rPr>
          <w:rFonts w:asciiTheme="majorHAnsi" w:hAnsiTheme="majorHAnsi" w:cs="Calibri"/>
          <w:b/>
          <w:sz w:val="24"/>
          <w:szCs w:val="24"/>
          <w:lang w:eastAsia="tr-TR"/>
        </w:rPr>
        <w:t>MDL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, bu kapsamdaki taleplere yazılı olarak cevap verilecekse, on sayfaya kadar ücret almadan; on sayfanın üzerindeki her sayfa için 1 Türk Lirası işlem ücreti alarak yanıtlandıracaktır. Başvuruya cevabın CD, </w:t>
      </w:r>
      <w:proofErr w:type="spellStart"/>
      <w:r w:rsidRPr="00C83186">
        <w:rPr>
          <w:rFonts w:asciiTheme="majorHAnsi" w:hAnsiTheme="majorHAnsi" w:cs="Calibri"/>
          <w:sz w:val="24"/>
          <w:szCs w:val="24"/>
          <w:lang w:eastAsia="tr-TR"/>
        </w:rPr>
        <w:t>flash</w:t>
      </w:r>
      <w:proofErr w:type="spellEnd"/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bellek gibi bir kayıt ortamında verilmesi halinde Şirket tarafından talep edilebilecek ücret kayıt ortamının maliyetini geçemeyecektir.</w:t>
      </w:r>
    </w:p>
    <w:p w14:paraId="381AF8C9" w14:textId="77777777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</w:p>
    <w:p w14:paraId="7DC71BCB" w14:textId="77777777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</w:p>
    <w:bookmarkEnd w:id="0"/>
    <w:p w14:paraId="5A8246B6" w14:textId="2526C15F" w:rsidR="00D203CF" w:rsidRPr="00C83186" w:rsidRDefault="00392772" w:rsidP="009C6FB2">
      <w:pPr>
        <w:spacing w:after="0" w:line="240" w:lineRule="auto"/>
        <w:jc w:val="right"/>
        <w:rPr>
          <w:rFonts w:asciiTheme="majorHAnsi" w:hAnsiTheme="majorHAnsi" w:cs="Calibri"/>
          <w:bCs/>
          <w:iCs/>
          <w:sz w:val="24"/>
          <w:szCs w:val="24"/>
          <w:lang w:eastAsia="tr-TR"/>
        </w:rPr>
      </w:pPr>
      <w:r>
        <w:rPr>
          <w:b/>
          <w:bCs/>
          <w:iCs/>
          <w:szCs w:val="24"/>
          <w:lang w:eastAsia="tr-TR"/>
        </w:rPr>
        <w:lastRenderedPageBreak/>
        <w:t>MDL</w:t>
      </w:r>
      <w:r w:rsidR="009C6FB2" w:rsidRPr="00001CA7">
        <w:rPr>
          <w:b/>
          <w:bCs/>
          <w:iCs/>
          <w:szCs w:val="24"/>
          <w:lang w:eastAsia="tr-TR"/>
        </w:rPr>
        <w:t xml:space="preserve"> </w:t>
      </w:r>
      <w:r w:rsidRPr="00392772">
        <w:rPr>
          <w:b/>
          <w:bCs/>
          <w:iCs/>
          <w:szCs w:val="24"/>
          <w:lang w:eastAsia="tr-TR"/>
        </w:rPr>
        <w:t>MEDİKAL VE ENDÜSTRİYEL ÜRÜNLER SANAYİ TİCARET ANONİM ŞİRKETİ</w:t>
      </w:r>
    </w:p>
    <w:sectPr w:rsidR="00D203CF" w:rsidRPr="00C83186" w:rsidSect="00F4774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386B"/>
    <w:multiLevelType w:val="hybridMultilevel"/>
    <w:tmpl w:val="5FD84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2"/>
    <w:rsid w:val="002B0D42"/>
    <w:rsid w:val="00360898"/>
    <w:rsid w:val="00392772"/>
    <w:rsid w:val="00491D5F"/>
    <w:rsid w:val="005F5716"/>
    <w:rsid w:val="007A3171"/>
    <w:rsid w:val="009C6FB2"/>
    <w:rsid w:val="00A53684"/>
    <w:rsid w:val="00AB1BFB"/>
    <w:rsid w:val="00BE0D71"/>
    <w:rsid w:val="00C83186"/>
    <w:rsid w:val="00D203CF"/>
    <w:rsid w:val="00DC5310"/>
    <w:rsid w:val="00DF461C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9FBF"/>
  <w15:docId w15:val="{0FD407EA-B56A-CF44-AB5E-35DD096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42"/>
    <w:pPr>
      <w:spacing w:after="160" w:line="259" w:lineRule="auto"/>
    </w:pPr>
    <w:rPr>
      <w:rFonts w:asciiTheme="minorHAnsi" w:hAnsiTheme="minorHAnsi"/>
      <w:sz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1D5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91D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1D5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1D5F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2B0D4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0D42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0D42"/>
    <w:rPr>
      <w:color w:val="0000FF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D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D42"/>
    <w:rPr>
      <w:rFonts w:asciiTheme="minorHAnsi" w:hAnsiTheme="minorHAns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D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D42"/>
    <w:rPr>
      <w:rFonts w:asciiTheme="minorHAnsi" w:hAnsiTheme="minorHAns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l.medikal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PC</cp:lastModifiedBy>
  <cp:revision>2</cp:revision>
  <dcterms:created xsi:type="dcterms:W3CDTF">2024-07-19T11:22:00Z</dcterms:created>
  <dcterms:modified xsi:type="dcterms:W3CDTF">2024-07-19T11:22:00Z</dcterms:modified>
</cp:coreProperties>
</file>